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514" w:rsidRDefault="005A6710" w:rsidP="005A6710">
      <w:pPr>
        <w:jc w:val="right"/>
        <w:rPr>
          <w:rFonts w:ascii="Lato" w:hAnsi="Lato" w:cstheme="minorHAnsi"/>
          <w:b/>
          <w:sz w:val="20"/>
          <w:szCs w:val="20"/>
        </w:rPr>
      </w:pPr>
      <w:r w:rsidRPr="009411F3">
        <w:rPr>
          <w:rFonts w:ascii="Lato" w:hAnsi="Lato" w:cstheme="minorHAnsi"/>
          <w:b/>
          <w:sz w:val="20"/>
          <w:szCs w:val="20"/>
        </w:rPr>
        <w:t>Załącznik nr 2 do SWZ</w:t>
      </w:r>
    </w:p>
    <w:p w:rsidR="005A6710" w:rsidRDefault="005A6710" w:rsidP="005A6710">
      <w:pPr>
        <w:rPr>
          <w:rFonts w:ascii="Lato" w:hAnsi="Lato" w:cs="Arial"/>
          <w:sz w:val="20"/>
          <w:szCs w:val="20"/>
        </w:rPr>
      </w:pPr>
      <w:r w:rsidRPr="0022655C">
        <w:rPr>
          <w:rFonts w:ascii="Lato" w:hAnsi="Lato" w:cs="Arial"/>
          <w:sz w:val="20"/>
          <w:szCs w:val="20"/>
        </w:rPr>
        <w:t>Nazwa Wykonawcy:</w:t>
      </w:r>
    </w:p>
    <w:p w:rsidR="005A6710" w:rsidRDefault="005A6710" w:rsidP="005A6710"/>
    <w:p w:rsidR="00356D9C" w:rsidRPr="00095FDD" w:rsidRDefault="005A6710" w:rsidP="005A6710">
      <w:pPr>
        <w:jc w:val="center"/>
        <w:rPr>
          <w:b/>
        </w:rPr>
      </w:pPr>
      <w:r w:rsidRPr="00095FDD">
        <w:rPr>
          <w:b/>
        </w:rPr>
        <w:t xml:space="preserve">Formularz </w:t>
      </w:r>
      <w:r w:rsidR="00095FDD">
        <w:rPr>
          <w:b/>
        </w:rPr>
        <w:t>P</w:t>
      </w:r>
      <w:r w:rsidRPr="00095FDD">
        <w:rPr>
          <w:b/>
        </w:rPr>
        <w:t>arametrów</w:t>
      </w:r>
    </w:p>
    <w:p w:rsidR="005A6710" w:rsidRDefault="005A6710" w:rsidP="00095FDD">
      <w:pPr>
        <w:jc w:val="both"/>
        <w:rPr>
          <w:rFonts w:ascii="Lato" w:hAnsi="Lato"/>
          <w:sz w:val="20"/>
          <w:szCs w:val="20"/>
        </w:rPr>
      </w:pPr>
      <w:r w:rsidRPr="00DB699D">
        <w:rPr>
          <w:rFonts w:ascii="Lato" w:hAnsi="Lato" w:cstheme="minorHAnsi"/>
          <w:color w:val="000000"/>
          <w:sz w:val="20"/>
          <w:szCs w:val="20"/>
        </w:rPr>
        <w:t>Dotyczy postępowania o udzielenie zamówienia publicznego n</w:t>
      </w:r>
      <w:r>
        <w:rPr>
          <w:rFonts w:ascii="Lato" w:hAnsi="Lato" w:cstheme="minorHAnsi"/>
          <w:color w:val="000000"/>
          <w:sz w:val="20"/>
          <w:szCs w:val="20"/>
        </w:rPr>
        <w:t>a</w:t>
      </w:r>
      <w:r w:rsidRPr="009411F3">
        <w:rPr>
          <w:rFonts w:ascii="Lato" w:hAnsi="Lato"/>
          <w:sz w:val="20"/>
          <w:szCs w:val="20"/>
        </w:rPr>
        <w:t xml:space="preserve"> </w:t>
      </w:r>
      <w:r w:rsidR="0078212D" w:rsidRPr="0078212D">
        <w:rPr>
          <w:rFonts w:ascii="Lato" w:hAnsi="Lato"/>
          <w:sz w:val="20"/>
          <w:szCs w:val="20"/>
        </w:rPr>
        <w:t>Zakup serwera i macierzy dla zwiększenia przestrzeni dyskowej dla nowych systemów bezpieczeństwa</w:t>
      </w:r>
      <w:r w:rsidR="00AE5C65">
        <w:rPr>
          <w:rFonts w:ascii="Lato" w:hAnsi="Lato"/>
          <w:sz w:val="20"/>
          <w:szCs w:val="20"/>
        </w:rPr>
        <w:t>.</w:t>
      </w:r>
      <w:r w:rsidR="00095FDD" w:rsidRPr="00095FDD">
        <w:rPr>
          <w:rFonts w:ascii="Lato" w:hAnsi="Lato"/>
          <w:sz w:val="20"/>
          <w:szCs w:val="20"/>
        </w:rPr>
        <w:t xml:space="preserve"> </w:t>
      </w:r>
      <w:r w:rsidR="00AE5C65">
        <w:rPr>
          <w:rFonts w:ascii="Lato" w:hAnsi="Lato"/>
          <w:sz w:val="20"/>
          <w:szCs w:val="20"/>
        </w:rPr>
        <w:t>O</w:t>
      </w:r>
      <w:r w:rsidRPr="009411F3">
        <w:rPr>
          <w:rFonts w:ascii="Lato" w:hAnsi="Lato"/>
          <w:sz w:val="20"/>
          <w:szCs w:val="20"/>
        </w:rPr>
        <w:t>świadczam, że</w:t>
      </w:r>
      <w:r>
        <w:rPr>
          <w:rFonts w:ascii="Lato" w:hAnsi="Lato"/>
          <w:sz w:val="20"/>
          <w:szCs w:val="20"/>
        </w:rPr>
        <w:t xml:space="preserve"> oferujemy dostawę </w:t>
      </w:r>
      <w:r w:rsidR="00B26204">
        <w:rPr>
          <w:rFonts w:ascii="Lato" w:hAnsi="Lato"/>
          <w:sz w:val="20"/>
          <w:szCs w:val="20"/>
        </w:rPr>
        <w:t>spełniającą</w:t>
      </w:r>
      <w:r>
        <w:rPr>
          <w:rFonts w:ascii="Lato" w:hAnsi="Lato"/>
          <w:sz w:val="20"/>
          <w:szCs w:val="20"/>
        </w:rPr>
        <w:t xml:space="preserve"> wymagania zawarte w Złączniku nr 1 do SWZ </w:t>
      </w:r>
      <w:r w:rsidR="00095FDD">
        <w:rPr>
          <w:rFonts w:ascii="Lato" w:hAnsi="Lato"/>
          <w:sz w:val="20"/>
          <w:szCs w:val="20"/>
        </w:rPr>
        <w:t xml:space="preserve">- </w:t>
      </w:r>
      <w:r>
        <w:rPr>
          <w:rFonts w:ascii="Lato" w:hAnsi="Lato"/>
          <w:sz w:val="20"/>
          <w:szCs w:val="20"/>
        </w:rPr>
        <w:t xml:space="preserve">Opisie przedmiotu zamówienia. </w:t>
      </w:r>
    </w:p>
    <w:p w:rsidR="00840B80" w:rsidRDefault="00840B80" w:rsidP="00095FDD">
      <w:pPr>
        <w:jc w:val="both"/>
      </w:pPr>
    </w:p>
    <w:p w:rsidR="00840B80" w:rsidRDefault="00840B80" w:rsidP="00095FDD">
      <w:pPr>
        <w:jc w:val="both"/>
      </w:pPr>
      <w:r>
        <w:t>Serwer: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3"/>
        <w:gridCol w:w="6757"/>
        <w:gridCol w:w="1418"/>
      </w:tblGrid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Parametr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78212D" w:rsidRPr="00C37A10" w:rsidRDefault="0078212D" w:rsidP="00840B80">
            <w:pPr>
              <w:jc w:val="center"/>
              <w:rPr>
                <w:rFonts w:ascii="Lato" w:hAnsi="Lato"/>
                <w:b/>
                <w:i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Charakterystyka (wymagania minimalne)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78212D" w:rsidRPr="00C37A10" w:rsidRDefault="00E16668" w:rsidP="00840B80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>
              <w:rPr>
                <w:rFonts w:ascii="Lato" w:eastAsia="Calibri" w:hAnsi="Lato"/>
                <w:b/>
                <w:sz w:val="20"/>
                <w:szCs w:val="20"/>
              </w:rPr>
              <w:t>Tak/Nie</w:t>
            </w:r>
          </w:p>
        </w:tc>
      </w:tr>
      <w:tr w:rsidR="00EB75EE" w:rsidRPr="00C37A10" w:rsidTr="00567BC6"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5EE" w:rsidRPr="00C37A10" w:rsidRDefault="00EB75EE" w:rsidP="00EB75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eastAsia="Calibri" w:hAnsi="Lato"/>
                <w:color w:val="000000"/>
                <w:sz w:val="20"/>
                <w:szCs w:val="20"/>
              </w:rPr>
            </w:pPr>
            <w:r>
              <w:t xml:space="preserve">Zamawiający wymaga, aby cały dostarczony sprzęt pochodził </w:t>
            </w:r>
            <w:r>
              <w:rPr>
                <w:rStyle w:val="Pogrubienie"/>
                <w:rFonts w:eastAsiaTheme="majorEastAsia"/>
              </w:rPr>
              <w:t>od jednego producenta</w:t>
            </w:r>
            <w:r>
              <w:t xml:space="preserve"> i był w pełni zgodny ze </w:t>
            </w:r>
            <w:r>
              <w:rPr>
                <w:rStyle w:val="Pogrubienie"/>
                <w:rFonts w:eastAsiaTheme="majorEastAsia"/>
              </w:rPr>
              <w:t>szczegółową specyfikacją techniczną</w:t>
            </w:r>
            <w:r>
              <w:t xml:space="preserve"> przedstawioną poniżej – prosimy o padnie nazwy …………………………..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5EE" w:rsidRPr="00C37A10" w:rsidRDefault="00EB75EE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36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Obudowa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Rack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 wysokości max 2U.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Backplain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dyskowy nie jest wymagany. </w:t>
            </w:r>
          </w:p>
          <w:p w:rsidR="0078212D" w:rsidRPr="00C37A10" w:rsidRDefault="0078212D" w:rsidP="00840B8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Obudowa wyposażona w panel LCD umieszczony na froncie obudowy lub dedykowanej ramce.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36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Płyta główna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Płyta główna z możliwością zainstalowania dwóch procesorów. </w:t>
            </w:r>
          </w:p>
          <w:p w:rsidR="0078212D" w:rsidRPr="00C37A10" w:rsidRDefault="0078212D" w:rsidP="00840B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obsługi procesorów 128 rdzeniowych.</w:t>
            </w:r>
          </w:p>
          <w:p w:rsidR="0078212D" w:rsidRPr="00C37A10" w:rsidRDefault="0078212D" w:rsidP="00840B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Płyta główna musi być zaprojektowana przez producenta serwera i oznaczona jego znakiem firmowym. </w:t>
            </w:r>
          </w:p>
          <w:p w:rsidR="0078212D" w:rsidRPr="00C37A10" w:rsidRDefault="0078212D" w:rsidP="00840B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Na płycie głównej powinno znajdować się minimum 24 slotów przeznaczonych do instalacji pamięci. </w:t>
            </w:r>
          </w:p>
          <w:p w:rsidR="0078212D" w:rsidRPr="00C37A10" w:rsidRDefault="0078212D" w:rsidP="00840B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Płyta główna powinna obsługiwać do m</w:t>
            </w:r>
            <w:bookmarkStart w:id="0" w:name="_GoBack"/>
            <w:bookmarkEnd w:id="0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in. 6TB pamięci RAM.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rPr>
          <w:trHeight w:val="383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Chipset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Dedykowany przez producenta procesora do pracy w serwerach dwuprocesorowych.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rPr>
          <w:trHeight w:val="710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Procesor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Zainstalowane dwa procesory, min. 32-rdzeniowe, min. 2.7GHz, min. 128MB cache, klasy x86 dedykowane do pracy z zaoferowanym serwerem umożliwiające osiągnięcie </w:t>
            </w:r>
            <w:r w:rsidRPr="00C37A10">
              <w:rPr>
                <w:rFonts w:ascii="Lato" w:eastAsia="Calibri" w:hAnsi="Lato"/>
                <w:sz w:val="20"/>
                <w:szCs w:val="20"/>
              </w:rPr>
              <w:t>wyniku min. 714 w teście SPECrate2017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_int_base w konfiguracji dwu procesorowej, dostępnym na stronie </w:t>
            </w:r>
            <w:hyperlink r:id="rId7">
              <w:r w:rsidRPr="00C37A10">
                <w:rPr>
                  <w:rFonts w:ascii="Lato" w:eastAsia="Calibri" w:hAnsi="Lato"/>
                  <w:color w:val="0563C1"/>
                  <w:sz w:val="20"/>
                  <w:szCs w:val="20"/>
                  <w:u w:val="single"/>
                </w:rPr>
                <w:t>www.spec.org</w:t>
              </w:r>
            </w:hyperlink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  <w:r w:rsidRPr="00C37A1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RAM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Minimum 1280GB DDR5 RDIMM 5600MT/s, w modułach po 64GB.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hAnsi="Lato"/>
                <w:b/>
                <w:sz w:val="16"/>
                <w:szCs w:val="16"/>
              </w:rPr>
              <w:t>Kontroler RAID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57" w:hanging="425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Nie jest wymagany.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57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Dyski twarde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Zainstalowane, w dedykowanym slocie, dwa dysków M.2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NVMe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 pojemności min. 480GB Hot-Plug z możliwością konfiguracji RAID 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rPr>
          <w:trHeight w:val="512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Gniazda PCI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840B8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Osiem slotów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w tym min 2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sloty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x16.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rPr>
          <w:trHeight w:val="512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Interfejsy sieciowe/FC/SAS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Wbudowane min. 2 interfejsy sieciowe 1Gb Ethernet w standardzie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BaseT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oraz 2 interfejsy sieciowe 10/25Gb Ethernet w 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lastRenderedPageBreak/>
              <w:t xml:space="preserve">standardzieSFP28 (porty nie mogą być osiągnięte poprzez karty w slotach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).</w:t>
            </w:r>
          </w:p>
          <w:p w:rsidR="0078212D" w:rsidRPr="00C37A10" w:rsidRDefault="0078212D" w:rsidP="00840B8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Karta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z min. 2 interfejsami sieciowymi 10/25Gb Ethernet w standardzie SFP28.</w:t>
            </w:r>
          </w:p>
          <w:p w:rsidR="0078212D" w:rsidRPr="00C37A10" w:rsidRDefault="0078212D" w:rsidP="00840B8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Wszystkie porty </w:t>
            </w:r>
            <w:r w:rsidRPr="00C37A10">
              <w:rPr>
                <w:rFonts w:ascii="Lato" w:hAnsi="Lato"/>
                <w:color w:val="000000"/>
                <w:sz w:val="20"/>
                <w:szCs w:val="20"/>
              </w:rPr>
              <w:t xml:space="preserve">muszą być 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wyposażone we wkładki SFP28 SR. </w:t>
            </w:r>
          </w:p>
          <w:p w:rsidR="0078212D" w:rsidRPr="00C37A10" w:rsidRDefault="0078212D" w:rsidP="00840B8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Dwie karty FC dwuportowe 32Gbit wraz z wkładkami SR.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hAnsi="Lato"/>
                <w:b/>
                <w:sz w:val="16"/>
                <w:szCs w:val="16"/>
              </w:rPr>
              <w:t>Wbudowane porty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4 porty USB w tym min: </w:t>
            </w:r>
          </w:p>
          <w:p w:rsidR="0078212D" w:rsidRPr="00C37A10" w:rsidRDefault="0078212D" w:rsidP="00840B80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1 port USB 3.0 z tyłu obudowy, </w:t>
            </w:r>
          </w:p>
          <w:p w:rsidR="0078212D" w:rsidRPr="00A74C67" w:rsidRDefault="0078212D" w:rsidP="00840B80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sz w:val="20"/>
                <w:szCs w:val="20"/>
              </w:rPr>
            </w:pPr>
            <w:r w:rsidRPr="00A74C67">
              <w:rPr>
                <w:rFonts w:ascii="Lato" w:eastAsia="Calibri" w:hAnsi="Lato"/>
                <w:sz w:val="20"/>
                <w:szCs w:val="20"/>
              </w:rPr>
              <w:t>1 port micro USB lub USB z przodu obudowy.</w:t>
            </w:r>
          </w:p>
          <w:p w:rsidR="0078212D" w:rsidRPr="00A74C67" w:rsidRDefault="0078212D" w:rsidP="00840B8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sz w:val="20"/>
                <w:szCs w:val="20"/>
              </w:rPr>
            </w:pPr>
            <w:r w:rsidRPr="00A74C67">
              <w:rPr>
                <w:rFonts w:ascii="Lato" w:eastAsia="Calibri" w:hAnsi="Lato"/>
                <w:sz w:val="20"/>
                <w:szCs w:val="20"/>
              </w:rPr>
              <w:t xml:space="preserve">2 port VGA lub </w:t>
            </w:r>
            <w:proofErr w:type="spellStart"/>
            <w:r w:rsidRPr="00A74C67">
              <w:rPr>
                <w:rFonts w:ascii="Lato" w:eastAsia="Calibri" w:hAnsi="Lato"/>
                <w:sz w:val="20"/>
                <w:szCs w:val="20"/>
              </w:rPr>
              <w:t>DisplayPort</w:t>
            </w:r>
            <w:proofErr w:type="spellEnd"/>
            <w:r w:rsidRPr="00A74C67">
              <w:rPr>
                <w:rFonts w:ascii="Lato" w:eastAsia="Calibri" w:hAnsi="Lato"/>
                <w:sz w:val="20"/>
                <w:szCs w:val="20"/>
              </w:rPr>
              <w:t xml:space="preserve"> z czego jeden z przodu obudowy. </w:t>
            </w:r>
          </w:p>
          <w:p w:rsidR="0078212D" w:rsidRPr="00C37A10" w:rsidRDefault="0078212D" w:rsidP="00840B8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rozbudowy o port RS232.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Video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840B8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Zintegrowana karta graficzna umożliwiająca wyświetlenie rozdzielczości min. 1920x1080.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System operacyjny / dodatkowe oprogramowanie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840B8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Nie jest wymagany.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eastAsia="Calibri" w:hAnsi="Lato"/>
                <w:b/>
                <w:sz w:val="16"/>
                <w:szCs w:val="16"/>
              </w:rPr>
              <w:t>Wentylatory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Redundantne.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E16668">
              <w:rPr>
                <w:rFonts w:ascii="Lato" w:hAnsi="Lato"/>
                <w:b/>
                <w:sz w:val="16"/>
                <w:szCs w:val="16"/>
              </w:rPr>
              <w:t>Zasilacze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C37A10" w:rsidRDefault="0078212D" w:rsidP="00840B8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Redundantne, Hot-Plug min. 1800W klasy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Titanium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</w:p>
          <w:p w:rsidR="0078212D" w:rsidRPr="00C37A10" w:rsidRDefault="0078212D" w:rsidP="00840B8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Dwa przewody C15/C14 min. 2 metry.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E16668" w:rsidRDefault="0078212D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Elementy montażowe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840B8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Komplet wysuwanych szyn umożliwiających montaż w szafie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rack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i wysuwanie serwera do celów serwisowych.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C37A10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8212D" w:rsidRPr="00C37A10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E16668" w:rsidRDefault="0078212D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Bezpieczeństwo</w:t>
            </w:r>
            <w:r w:rsidRPr="00E16668">
              <w:rPr>
                <w:rFonts w:ascii="Lato" w:hAnsi="Lato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A74C67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A74C67">
              <w:rPr>
                <w:rFonts w:ascii="Lato" w:eastAsia="Calibri" w:hAnsi="Lato"/>
                <w:sz w:val="20"/>
                <w:szCs w:val="20"/>
              </w:rPr>
              <w:t>Zatrzask górnej pokrywy oraz blokada na ramce panelu zamykana na klucz służąca do ochrony nieautoryzowanego dostępu do dysków twardych. 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A74C67">
              <w:rPr>
                <w:rFonts w:ascii="Lato" w:eastAsia="Calibri" w:hAnsi="Lato"/>
                <w:sz w:val="20"/>
                <w:szCs w:val="20"/>
              </w:rPr>
              <w:t xml:space="preserve">Wbudowany w serwer </w:t>
            </w:r>
            <w:proofErr w:type="spellStart"/>
            <w:r w:rsidRPr="00A74C67">
              <w:rPr>
                <w:rFonts w:ascii="Lato" w:eastAsia="Calibri" w:hAnsi="Lato"/>
                <w:sz w:val="20"/>
                <w:szCs w:val="20"/>
              </w:rPr>
              <w:t>mechanizmpozwalający</w:t>
            </w:r>
            <w:proofErr w:type="spellEnd"/>
            <w:r w:rsidRPr="00A74C67">
              <w:rPr>
                <w:rFonts w:ascii="Lato" w:eastAsia="Calibri" w:hAnsi="Lato"/>
                <w:sz w:val="20"/>
                <w:szCs w:val="20"/>
              </w:rPr>
              <w:t xml:space="preserve"> na weryfikację niezmienności konfiguracji sprzętowej serwera od momentu produkcji do dostawy do docelowej lokalizacji. Mechanizm ma również pozwalać na kontrolę otwarcia urządzenia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hasła. 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Moduł TPM 2.0. 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A74C67">
              <w:rPr>
                <w:rFonts w:ascii="Lato" w:eastAsia="Calibri" w:hAnsi="Lato"/>
                <w:sz w:val="20"/>
                <w:szCs w:val="20"/>
              </w:rPr>
              <w:t>Możliwość dynamicznego włączania i wyłączania portów USB na obudowie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serwerem.</w:t>
            </w:r>
          </w:p>
          <w:p w:rsidR="0078212D" w:rsidRPr="00C37A10" w:rsidRDefault="0078212D" w:rsidP="00840B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A74C67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Lato" w:eastAsia="Calibri" w:hAnsi="Lato"/>
                <w:sz w:val="20"/>
                <w:szCs w:val="20"/>
              </w:rPr>
            </w:pPr>
          </w:p>
        </w:tc>
      </w:tr>
      <w:tr w:rsidR="0078212D" w:rsidRPr="00640972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E16668" w:rsidRDefault="0078212D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lastRenderedPageBreak/>
              <w:t>Karta Zarządzania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640972" w:rsidRDefault="0078212D" w:rsidP="00840B80">
            <w:pPr>
              <w:numPr>
                <w:ilvl w:val="0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zdalny dostęp do graficznego interfejsu Web karty zarządzającej,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zdalne monitorowanie i informowanie o statusie serwera (m.in. prędkości obrotowej wentylatorów, konfiguracji serwera),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szyfrowane połączenie (TLS) oraz autentykacje i autoryzację użytkownika,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możliwość podmontowania zdalnych wirtualnych napędów,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wirtualną konsolę z dostępem do myszy, klawiatury,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wsparcie dla IPv6,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wsparcie dla</w:t>
            </w:r>
            <w:r w:rsidRPr="00640972">
              <w:rPr>
                <w:rFonts w:ascii="Lato" w:eastAsia="Times New Roman" w:hAnsi="Lato"/>
                <w:strike/>
                <w:sz w:val="20"/>
                <w:szCs w:val="20"/>
              </w:rPr>
              <w:t xml:space="preserve"> </w:t>
            </w:r>
            <w:r w:rsidRPr="00640972">
              <w:rPr>
                <w:rFonts w:ascii="Lato" w:eastAsia="Times New Roman" w:hAnsi="Lato"/>
                <w:sz w:val="20"/>
                <w:szCs w:val="20"/>
              </w:rPr>
              <w:t xml:space="preserve">SNMP; IPMI2.0, SSH, </w:t>
            </w:r>
            <w:proofErr w:type="spellStart"/>
            <w:r w:rsidRPr="00640972">
              <w:rPr>
                <w:rFonts w:ascii="Lato" w:eastAsia="Times New Roman" w:hAnsi="Lato"/>
                <w:sz w:val="20"/>
                <w:szCs w:val="20"/>
              </w:rPr>
              <w:t>Redfish</w:t>
            </w:r>
            <w:proofErr w:type="spellEnd"/>
            <w:r w:rsidRPr="00640972">
              <w:rPr>
                <w:rFonts w:ascii="Lato" w:eastAsia="Times New Roman" w:hAnsi="Lato"/>
                <w:sz w:val="20"/>
                <w:szCs w:val="20"/>
              </w:rPr>
              <w:t>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możliwość zdalnego monitorowania w czasie rzeczywistym poboru prądu przez serwer,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integracja z Active Directory,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możliwość obsługi przez dwóch administratorów jednocześnie,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 xml:space="preserve">wsparcie dla automatycznej rejestracji DNS, 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wysyłanie do administratora maila z powiadomieniem o awarii lub zmianie konfiguracji sprzętowej,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możliwość bezpośredniego zarządzania poprzez dedykowany port USB na przednim panelu serwera,</w:t>
            </w:r>
          </w:p>
          <w:p w:rsidR="0078212D" w:rsidRPr="00640972" w:rsidRDefault="0078212D" w:rsidP="00840B80">
            <w:pPr>
              <w:numPr>
                <w:ilvl w:val="0"/>
                <w:numId w:val="2"/>
              </w:numPr>
              <w:spacing w:after="0" w:line="252" w:lineRule="auto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b/>
                <w:bCs/>
                <w:sz w:val="20"/>
                <w:szCs w:val="20"/>
              </w:rPr>
              <w:t>oraz możliwość rozszerzenia funkcjonalności jedynie jako opcja:</w:t>
            </w:r>
          </w:p>
          <w:p w:rsidR="0078212D" w:rsidRPr="00640972" w:rsidRDefault="0078212D" w:rsidP="00840B80">
            <w:pPr>
              <w:numPr>
                <w:ilvl w:val="1"/>
                <w:numId w:val="2"/>
              </w:numPr>
              <w:spacing w:after="0" w:line="252" w:lineRule="auto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972">
              <w:rPr>
                <w:rFonts w:ascii="Lato" w:eastAsia="Times New Roman" w:hAnsi="Lato"/>
                <w:sz w:val="20"/>
                <w:szCs w:val="20"/>
              </w:rPr>
              <w:t>Dostosowanie zarządzania temperaturą i przepływem powietrza w serwerze,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640972" w:rsidRDefault="0078212D" w:rsidP="0078212D">
            <w:pPr>
              <w:spacing w:after="0" w:line="252" w:lineRule="auto"/>
              <w:ind w:left="720"/>
              <w:jc w:val="both"/>
              <w:rPr>
                <w:rFonts w:ascii="Lato" w:eastAsia="Times New Roman" w:hAnsi="Lato"/>
                <w:sz w:val="20"/>
                <w:szCs w:val="20"/>
              </w:rPr>
            </w:pPr>
          </w:p>
        </w:tc>
      </w:tr>
      <w:tr w:rsidR="0078212D" w:rsidRPr="00640972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E16668" w:rsidRDefault="0078212D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Oprogramowanie do zarządzania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640972" w:rsidRDefault="0078212D" w:rsidP="00840B80">
            <w:pPr>
              <w:ind w:left="132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 xml:space="preserve">Możliwość zainstalowania oprogramowania producenta do zarządzania, spełniającego poniższe wymagania (licencja na poniższą funkcjonalność nie jest wymagana): 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Wsparcie dla serwerów, urządzeń sieciowych oraz pamięci masowych.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Integracja z Active Directory.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zarządzania dostarczonymi serwerami bez udziału dedykowanego agenta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640972">
              <w:rPr>
                <w:rFonts w:ascii="Lato" w:hAnsi="Lato"/>
                <w:sz w:val="20"/>
                <w:szCs w:val="20"/>
              </w:rPr>
              <w:t>Redfish</w:t>
            </w:r>
            <w:proofErr w:type="spellEnd"/>
            <w:r w:rsidRPr="00640972">
              <w:rPr>
                <w:rFonts w:ascii="Lato" w:hAnsi="Lato"/>
                <w:sz w:val="20"/>
                <w:szCs w:val="20"/>
              </w:rPr>
              <w:t>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Szczegółowy opis wykrytych systemów oraz ich komponentów.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eksportu raportu do CSV, HTML, XLS, PDF.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tworzenia własnych raportów w oparciu o wszystkie informacje zawarte w inwentarzu.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uruchamiania narzędzi zarządzających w poszczególnych urządzeniach.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Szybki podgląd stanu środowiska.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Podsumowanie stanu dla każdego urządzenia.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Szczegółowy status urządzenia/elementu/komponentu.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Generowanie alertów przy zmianie stanu urządzenia.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Filtry raportów umożliwiające podgląd najważniejszych zdarzeń.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 xml:space="preserve">Integracja z service </w:t>
            </w:r>
            <w:proofErr w:type="spellStart"/>
            <w:r w:rsidRPr="00640972">
              <w:rPr>
                <w:rFonts w:ascii="Lato" w:hAnsi="Lato"/>
                <w:sz w:val="20"/>
                <w:szCs w:val="20"/>
              </w:rPr>
              <w:t>desk</w:t>
            </w:r>
            <w:proofErr w:type="spellEnd"/>
            <w:r w:rsidRPr="00640972">
              <w:rPr>
                <w:rFonts w:ascii="Lato" w:hAnsi="Lato"/>
                <w:sz w:val="20"/>
                <w:szCs w:val="20"/>
              </w:rPr>
              <w:t xml:space="preserve"> producenta dostarczonej platformy sprzętowej.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przejęcia zdalnego pulpitu.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podmontowania wirtualnego napędu.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Kreator umożliwiający dostosowanie akcji dla wybranych alertów.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lastRenderedPageBreak/>
              <w:t>Przesyłanie alertów „as-</w:t>
            </w:r>
            <w:proofErr w:type="spellStart"/>
            <w:r w:rsidRPr="00640972">
              <w:rPr>
                <w:rFonts w:ascii="Lato" w:hAnsi="Lato"/>
                <w:sz w:val="20"/>
                <w:szCs w:val="20"/>
              </w:rPr>
              <w:t>is</w:t>
            </w:r>
            <w:proofErr w:type="spellEnd"/>
            <w:r w:rsidRPr="00640972">
              <w:rPr>
                <w:rFonts w:ascii="Lato" w:hAnsi="Lato"/>
                <w:sz w:val="20"/>
                <w:szCs w:val="20"/>
              </w:rPr>
              <w:t>” do innych konsol firm trzecich.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definiowania ról administratorów.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zdalnej aktualizacji oprogramowania wewnętrznego serwerów.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Aktualizacja oparta o wybranie źródła bibliotek (lokalna, on-line producenta oferowanego rozwiązania).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instalacji oprogramowania wewnętrznego bez potrzeby instalacji agenta.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Możliwość automatycznego generowania i zgłaszania incydentów awarii bezpośrednio do centrum serwisowego producenta serwerów.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spacing w:after="0" w:line="252" w:lineRule="auto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hAnsi="Lato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640972">
              <w:rPr>
                <w:rFonts w:ascii="Lato" w:hAnsi="Lato"/>
                <w:sz w:val="20"/>
                <w:szCs w:val="20"/>
              </w:rPr>
              <w:t>appliance</w:t>
            </w:r>
            <w:proofErr w:type="spellEnd"/>
            <w:r w:rsidRPr="00640972">
              <w:rPr>
                <w:rFonts w:ascii="Lato" w:hAnsi="Lato"/>
                <w:sz w:val="20"/>
                <w:szCs w:val="20"/>
              </w:rPr>
              <w:t xml:space="preserve"> dla KVM, </w:t>
            </w:r>
            <w:proofErr w:type="spellStart"/>
            <w:r w:rsidRPr="00640972">
              <w:rPr>
                <w:rFonts w:ascii="Lato" w:hAnsi="Lato"/>
                <w:sz w:val="20"/>
                <w:szCs w:val="20"/>
              </w:rPr>
              <w:t>ESXi</w:t>
            </w:r>
            <w:proofErr w:type="spellEnd"/>
            <w:r w:rsidRPr="00640972">
              <w:rPr>
                <w:rFonts w:ascii="Lato" w:hAnsi="Lato"/>
                <w:sz w:val="20"/>
                <w:szCs w:val="20"/>
              </w:rPr>
              <w:t xml:space="preserve"> i Hyper-V.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640972" w:rsidRDefault="0078212D" w:rsidP="00840B80">
            <w:pPr>
              <w:ind w:left="132"/>
              <w:rPr>
                <w:rFonts w:ascii="Lato" w:hAnsi="Lato"/>
                <w:sz w:val="20"/>
                <w:szCs w:val="20"/>
              </w:rPr>
            </w:pPr>
          </w:p>
        </w:tc>
      </w:tr>
      <w:tr w:rsidR="0078212D" w:rsidRPr="00640972" w:rsidTr="00E16668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E16668" w:rsidRDefault="0078212D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Certyfikaty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640972" w:rsidRDefault="0078212D" w:rsidP="00840B80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640972">
              <w:rPr>
                <w:rFonts w:ascii="Lato" w:eastAsia="Calibri" w:hAnsi="Lato"/>
                <w:sz w:val="20"/>
                <w:szCs w:val="20"/>
              </w:rPr>
              <w:t>Serwer musi posiadać deklaracja CE.</w:t>
            </w:r>
          </w:p>
          <w:p w:rsidR="0078212D" w:rsidRPr="00640972" w:rsidRDefault="0078212D" w:rsidP="00840B80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eastAsia="Calibri" w:hAnsi="Lato"/>
                <w:sz w:val="20"/>
                <w:szCs w:val="20"/>
              </w:rPr>
              <w:t xml:space="preserve">Wydruk ze strony internetowej </w:t>
            </w:r>
            <w:hyperlink r:id="rId8">
              <w:r w:rsidRPr="00640972">
                <w:rPr>
                  <w:rFonts w:ascii="Lato" w:eastAsia="Calibri" w:hAnsi="Lato"/>
                  <w:sz w:val="20"/>
                  <w:szCs w:val="20"/>
                  <w:u w:val="single"/>
                </w:rPr>
                <w:t>www.epeat.net</w:t>
              </w:r>
            </w:hyperlink>
            <w:r w:rsidRPr="00640972">
              <w:rPr>
                <w:rFonts w:ascii="Lato" w:eastAsia="Calibri" w:hAnsi="Lato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640972">
              <w:rPr>
                <w:rFonts w:ascii="Lato" w:eastAsia="Calibri" w:hAnsi="Lato"/>
                <w:sz w:val="20"/>
                <w:szCs w:val="20"/>
              </w:rPr>
              <w:t>Epeat</w:t>
            </w:r>
            <w:proofErr w:type="spellEnd"/>
            <w:r w:rsidRPr="00640972">
              <w:rPr>
                <w:rFonts w:ascii="Lato" w:eastAsia="Calibri" w:hAnsi="Lato"/>
                <w:sz w:val="20"/>
                <w:szCs w:val="20"/>
              </w:rPr>
              <w:t xml:space="preserve"> Silver według normy wprowadzonej w 2019 roku dotyczącą potwierdzenia że, oferowane produkty zawierają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– </w:t>
            </w:r>
            <w:r w:rsidRPr="00640972">
              <w:rPr>
                <w:rFonts w:ascii="Lato" w:eastAsia="Calibri" w:hAnsi="Lato"/>
                <w:b/>
                <w:sz w:val="20"/>
                <w:szCs w:val="20"/>
              </w:rPr>
              <w:t>Wykonawca złoży dokument potwierdzający spełnianie wymogu.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640972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/>
              <w:jc w:val="both"/>
              <w:rPr>
                <w:rFonts w:ascii="Lato" w:eastAsia="Calibri" w:hAnsi="Lato"/>
                <w:sz w:val="20"/>
                <w:szCs w:val="20"/>
              </w:rPr>
            </w:pPr>
          </w:p>
        </w:tc>
      </w:tr>
      <w:tr w:rsidR="0078212D" w:rsidRPr="00640972" w:rsidTr="00E16668">
        <w:trPr>
          <w:trHeight w:val="980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E16668" w:rsidRDefault="0078212D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Dokumentacja użytkownika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640972" w:rsidRDefault="0078212D" w:rsidP="00840B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eastAsia="Calibri" w:hAnsi="Lato"/>
                <w:sz w:val="20"/>
                <w:szCs w:val="20"/>
              </w:rPr>
              <w:t>Zamawiający wymaga dokumentacji w języku polskim lub angi</w:t>
            </w:r>
            <w:r w:rsidRPr="00640972">
              <w:rPr>
                <w:rFonts w:ascii="Lato" w:eastAsia="Calibri" w:hAnsi="Lato"/>
                <w:i/>
                <w:sz w:val="20"/>
                <w:szCs w:val="20"/>
              </w:rPr>
              <w:t>e</w:t>
            </w:r>
            <w:r w:rsidRPr="00640972">
              <w:rPr>
                <w:rFonts w:ascii="Lato" w:eastAsia="Calibri" w:hAnsi="Lato"/>
                <w:sz w:val="20"/>
                <w:szCs w:val="20"/>
              </w:rPr>
              <w:t>lskim.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640972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sz w:val="20"/>
                <w:szCs w:val="20"/>
              </w:rPr>
            </w:pPr>
          </w:p>
        </w:tc>
      </w:tr>
      <w:tr w:rsidR="0078212D" w:rsidRPr="00640972" w:rsidTr="00E16668">
        <w:trPr>
          <w:trHeight w:val="230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E16668" w:rsidRDefault="0078212D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Warunki gwarancji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2D" w:rsidRPr="00640972" w:rsidRDefault="0078212D" w:rsidP="00840B8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eastAsia="Calibri" w:hAnsi="Lato"/>
                <w:sz w:val="20"/>
                <w:szCs w:val="20"/>
              </w:rPr>
              <w:t>Zamawiający wymaga zapewnienia gwarancji Producenta na Sprzęt na okres 3 lat.</w:t>
            </w:r>
          </w:p>
          <w:p w:rsidR="0078212D" w:rsidRPr="00640972" w:rsidRDefault="0078212D" w:rsidP="00840B8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eastAsia="Calibri" w:hAnsi="Lato"/>
                <w:sz w:val="20"/>
                <w:szCs w:val="20"/>
              </w:rPr>
              <w:t xml:space="preserve">Zamawiający oczekuje możliwości zgłaszania zdarzeń serwisowych w trybie </w:t>
            </w:r>
            <w:r w:rsidRPr="00640972">
              <w:rPr>
                <w:rFonts w:ascii="Lato" w:hAnsi="Lato" w:cs="Times New Roman"/>
                <w:sz w:val="20"/>
                <w:szCs w:val="20"/>
              </w:rPr>
              <w:t>5x8xNBD</w:t>
            </w:r>
            <w:r w:rsidRPr="00640972" w:rsidDel="0089392B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r w:rsidRPr="00640972">
              <w:rPr>
                <w:rFonts w:ascii="Lato" w:eastAsia="Calibri" w:hAnsi="Lato"/>
                <w:sz w:val="20"/>
                <w:szCs w:val="20"/>
              </w:rPr>
              <w:t xml:space="preserve">następującymi kanałami: telefonicznie i przez Internet. </w:t>
            </w:r>
          </w:p>
          <w:p w:rsidR="0078212D" w:rsidRPr="00640972" w:rsidRDefault="0078212D" w:rsidP="00840B8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Lato" w:hAnsi="Lato"/>
                <w:sz w:val="20"/>
                <w:szCs w:val="20"/>
              </w:rPr>
            </w:pPr>
            <w:r w:rsidRPr="00640972">
              <w:rPr>
                <w:rFonts w:ascii="Lato" w:eastAsia="Calibri" w:hAnsi="Lato"/>
                <w:sz w:val="20"/>
                <w:szCs w:val="20"/>
              </w:rPr>
              <w:lastRenderedPageBreak/>
              <w:t xml:space="preserve">Uszkodzone dyski zostają własnością zamawiającego.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2D" w:rsidRPr="00640972" w:rsidRDefault="0078212D" w:rsidP="00782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jc w:val="both"/>
              <w:rPr>
                <w:rFonts w:ascii="Lato" w:eastAsia="Calibri" w:hAnsi="Lato"/>
                <w:sz w:val="20"/>
                <w:szCs w:val="20"/>
              </w:rPr>
            </w:pPr>
          </w:p>
        </w:tc>
      </w:tr>
    </w:tbl>
    <w:p w:rsidR="00840B80" w:rsidRDefault="00840B80" w:rsidP="00095FDD">
      <w:pPr>
        <w:jc w:val="both"/>
      </w:pPr>
    </w:p>
    <w:p w:rsidR="00840B80" w:rsidRDefault="00840B80" w:rsidP="00095FDD">
      <w:pPr>
        <w:jc w:val="both"/>
      </w:pPr>
      <w:r>
        <w:t>Macierz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6804"/>
        <w:gridCol w:w="1418"/>
      </w:tblGrid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Parametr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  <w:hideMark/>
          </w:tcPr>
          <w:p w:rsidR="00E16668" w:rsidRDefault="00E16668" w:rsidP="00840B80">
            <w:pPr>
              <w:rPr>
                <w:rFonts w:ascii="Lato" w:hAnsi="Lato" w:cstheme="minorHAnsi"/>
                <w:b/>
                <w:i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Charakterystyka (wymagania minimalne)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E16668" w:rsidRDefault="00E16668" w:rsidP="00E16668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Tak/Nie</w:t>
            </w: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Obudowa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Do  instalacji w standardowej szafie RACK 19”, macierz musi zajmować maksymalnie 2U i pozwalać na instalacje 24 dysków 2.5”.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Kontrolery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Dwa kontrolery RAID pracujące w układzie </w:t>
            </w:r>
            <w:proofErr w:type="spellStart"/>
            <w:r>
              <w:rPr>
                <w:rFonts w:ascii="Lato" w:eastAsia="Quattrocento Sans" w:hAnsi="Lato" w:cstheme="minorHAnsi"/>
                <w:sz w:val="20"/>
                <w:szCs w:val="20"/>
              </w:rPr>
              <w:t>active-active</w:t>
            </w:r>
            <w:proofErr w:type="spellEnd"/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 posiadające łącznie minimum 8 portów 32Gb FC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Wkładki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Min. 4 wkładki 32Gb SFP+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Cache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16GB na kontroler, pamięć cache zapisu mirrorowana między kontrolerami, podtrzymywana bateryjnie przez min. 72h w razie awarii.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Dyski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Zainstalowane: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48 dyski 2.4TB 10K RPM SAS 12Gbps 512e 2.5in Hot-plug Hard Drive (macierz oraz półka dyskowa).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Możliwość rozbudowy przez dokładanie kolejnych dysków/półek dyskowych do łącznie </w:t>
            </w:r>
            <w:r>
              <w:rPr>
                <w:rFonts w:ascii="Lato" w:eastAsia="Quattrocento Sans" w:hAnsi="Lato" w:cstheme="minorHAnsi"/>
                <w:b/>
                <w:sz w:val="20"/>
                <w:szCs w:val="20"/>
              </w:rPr>
              <w:t>minimum 276 dysków</w:t>
            </w:r>
            <w:r>
              <w:rPr>
                <w:rFonts w:ascii="Lato" w:eastAsia="Quattrocento Sans" w:hAnsi="Lato" w:cstheme="minorHAnsi"/>
                <w:sz w:val="20"/>
                <w:szCs w:val="20"/>
              </w:rPr>
              <w:t>. Możliwość mieszania typów dysków w obrębie macierzy oraz pojedynczej półki.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840B80">
            <w:pPr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Oprogramowanie/Funkcjonalności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Zarządzanie macierzą poprzez minimum przeglądarkę internetową, GUI oparte o HTML5. 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Macierz powinna zostać dostarczona z licencją umożliwiającą utworzenie minimum 512 </w:t>
            </w:r>
            <w:proofErr w:type="spellStart"/>
            <w:r>
              <w:rPr>
                <w:rFonts w:ascii="Lato" w:eastAsia="Quattrocento Sans" w:hAnsi="Lato" w:cstheme="minorHAnsi"/>
                <w:sz w:val="20"/>
                <w:szCs w:val="20"/>
              </w:rPr>
              <w:t>LUN’ów</w:t>
            </w:r>
            <w:proofErr w:type="spellEnd"/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 oraz 1024 kopii migawkowych na całą macierz.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Konieczne jest posiadanie automatycznego, bez interwencji człowieka, rozkładania danych między dyskami poszczególnych typów (tzw. auto-</w:t>
            </w:r>
            <w:proofErr w:type="spellStart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tiering</w:t>
            </w:r>
            <w:proofErr w:type="spellEnd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). Dane muszą być automatycznie przemieszczane między rożnymi typami dysków.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Możliwość wykorzystania dysków SSD jako cache macierzy, możliwość rozbudowy pamięci cache do min. 8TB poprzez dyski SSD</w:t>
            </w:r>
            <w:r>
              <w:rPr>
                <w:rFonts w:ascii="Lato" w:eastAsia="Calibri" w:hAnsi="Lato" w:cstheme="minorHAnsi"/>
                <w:color w:val="000000"/>
                <w:sz w:val="20"/>
                <w:szCs w:val="20"/>
              </w:rPr>
              <w:t>.</w:t>
            </w: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 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Licencja zaoferowanej macierzy powinna umożliwiać podłączanie minimum 8 hostów bez konieczności zakupu dodatkowych licencji. 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Macierz musi posiadać funkcjonalność zdalnej replikacji danych do macierzy tej samej rodziny w trybie asynchronicznym</w:t>
            </w:r>
            <w:r>
              <w:rPr>
                <w:rFonts w:ascii="Lato" w:eastAsia="Quattrocento Sans" w:hAnsi="Lato" w:cstheme="minorHAns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Wsparcie dla systemów operacyjnych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Windows Server 2022, Red Hat Enterprise Linux (RHEL), SLES, </w:t>
            </w:r>
            <w:proofErr w:type="spellStart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Vmware</w:t>
            </w:r>
            <w:proofErr w:type="spellEnd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ESXi</w:t>
            </w:r>
            <w:proofErr w:type="spellEnd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, Citrix </w:t>
            </w:r>
            <w:proofErr w:type="spellStart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XenServer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ind w:left="360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Bezpieczeństwo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Ciągła praca obu kontrolerów nawet w przypadku zaniku jednej z faz zasilania. Zasilacze, wentylatory, kontrolery RAID redundantne.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ind w:left="360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Warunki gwarancji dla macierzy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3 lata gwarancji realizowanej w miejscu instalacji sprzętu, z czasem reakcji do następnego dnia roboczego od przyjęcia zgłoszenia, możliwość zgłaszania awarii w trybie 5x8xNBD poprzez ogólnopolską linię telefoniczną producenta. 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Zamawiający wymaga od Wykonawcy realizującego serwis lub producenta sprzętu świadczenia, że w przypadku wystąpienia awarii dysku twardego w urządzeniu objętym aktywnym wparciem technicznym, uszkodzony dysk twardy pozostaje u Zamawiającego.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Wymagane dołączenie do oferty oświadczenia Wykonawcy że, Serwis urządzeń będzie realizowany bezpośrednio przez Producenta i/lub we </w:t>
            </w:r>
            <w:r>
              <w:rPr>
                <w:rFonts w:ascii="Lato" w:eastAsia="Quattrocento Sans" w:hAnsi="Lato" w:cstheme="minorHAnsi"/>
                <w:sz w:val="20"/>
                <w:szCs w:val="20"/>
              </w:rPr>
              <w:lastRenderedPageBreak/>
              <w:t>współpracy z Autoryzowanym Partnerem Serwisowym Producenta.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mikrokodu</w:t>
            </w:r>
            <w:proofErr w:type="spellEnd"/>
            <w:r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 oraz sterowników  nawet w przypadku wygaśnięcia gwarancji macierzy.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Wszystkie naprawy gwarancyjne powinny być możliwe do realizacji na miejscu.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Producent ponosi koszty napraw gwarancyjnych, włączając w to koszt części I transportu.</w:t>
            </w:r>
          </w:p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W czasie obowiązywania gwarancji Producent zobowiązany jest do udostępnienia Zamawiającemu nowych wersji BIOS, </w:t>
            </w:r>
            <w:proofErr w:type="spellStart"/>
            <w:r>
              <w:rPr>
                <w:rFonts w:ascii="Lato" w:eastAsia="Quattrocento Sans" w:hAnsi="Lato" w:cstheme="minorHAnsi"/>
                <w:sz w:val="20"/>
                <w:szCs w:val="20"/>
              </w:rPr>
              <w:t>firmware</w:t>
            </w:r>
            <w:proofErr w:type="spellEnd"/>
            <w:r>
              <w:rPr>
                <w:rFonts w:ascii="Lato" w:eastAsia="Quattrocento Sans" w:hAnsi="Lato" w:cstheme="minorHAnsi"/>
                <w:sz w:val="20"/>
                <w:szCs w:val="20"/>
              </w:rPr>
              <w:t xml:space="preserve"> i sterowników (na płytach CD lub stronach internetowych).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ind w:left="360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rPr>
          <w:trHeight w:val="2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Dokumentacja użytkownika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9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>
              <w:rPr>
                <w:rFonts w:ascii="Lato" w:eastAsia="Quattrocento Sans" w:hAnsi="Lato" w:cstheme="minorHAnsi"/>
                <w:sz w:val="20"/>
                <w:szCs w:val="20"/>
              </w:rPr>
              <w:t>Zamawiający wymaga dokumentacji w języku polskim lub angielskim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E16668" w:rsidTr="00E166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668" w:rsidRPr="00E16668" w:rsidRDefault="00E16668" w:rsidP="00840B80">
            <w:pPr>
              <w:jc w:val="center"/>
              <w:rPr>
                <w:rFonts w:ascii="Lato" w:hAnsi="Lato" w:cstheme="minorHAnsi"/>
                <w:b/>
                <w:sz w:val="16"/>
                <w:szCs w:val="16"/>
              </w:rPr>
            </w:pPr>
            <w:r w:rsidRPr="00E16668">
              <w:rPr>
                <w:rFonts w:ascii="Lato" w:hAnsi="Lato" w:cstheme="minorHAnsi"/>
                <w:b/>
                <w:sz w:val="16"/>
                <w:szCs w:val="16"/>
              </w:rPr>
              <w:t>Certyfikaty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668" w:rsidRDefault="00E16668" w:rsidP="00840B80">
            <w:pPr>
              <w:pStyle w:val="Akapitzlist"/>
              <w:widowControl w:val="0"/>
              <w:numPr>
                <w:ilvl w:val="0"/>
                <w:numId w:val="19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Macierz musi być wyprodukowana zgodnie z normą  ISO 9001:2015.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68" w:rsidRDefault="00E16668" w:rsidP="00E16668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:rsidR="00840B80" w:rsidRDefault="00840B80" w:rsidP="00095FDD">
      <w:pPr>
        <w:jc w:val="both"/>
      </w:pPr>
    </w:p>
    <w:p w:rsidR="00840B80" w:rsidRDefault="0078212D" w:rsidP="00095FDD">
      <w:pPr>
        <w:jc w:val="both"/>
      </w:pPr>
      <w:r>
        <w:t>Wkładki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8080"/>
        <w:gridCol w:w="1418"/>
      </w:tblGrid>
      <w:tr w:rsidR="0078212D" w:rsidRPr="0078212D" w:rsidTr="00E16668">
        <w:tc>
          <w:tcPr>
            <w:tcW w:w="8080" w:type="dxa"/>
          </w:tcPr>
          <w:p w:rsidR="0078212D" w:rsidRPr="0078212D" w:rsidRDefault="0078212D" w:rsidP="00D87391">
            <w:pPr>
              <w:jc w:val="both"/>
            </w:pPr>
          </w:p>
        </w:tc>
        <w:tc>
          <w:tcPr>
            <w:tcW w:w="1418" w:type="dxa"/>
          </w:tcPr>
          <w:p w:rsidR="0078212D" w:rsidRPr="0078212D" w:rsidRDefault="00E16668" w:rsidP="00E16668">
            <w:pPr>
              <w:jc w:val="center"/>
            </w:pPr>
            <w:r>
              <w:t>Tak/Nie</w:t>
            </w:r>
          </w:p>
        </w:tc>
      </w:tr>
      <w:tr w:rsidR="0078212D" w:rsidRPr="0078212D" w:rsidTr="00E16668">
        <w:tc>
          <w:tcPr>
            <w:tcW w:w="8080" w:type="dxa"/>
          </w:tcPr>
          <w:p w:rsidR="0078212D" w:rsidRPr="0078212D" w:rsidRDefault="0078212D" w:rsidP="00D87391">
            <w:pPr>
              <w:jc w:val="both"/>
            </w:pPr>
            <w:r w:rsidRPr="0078212D">
              <w:t xml:space="preserve">Wkładki SR, SFP+ 10Gbps kompatybilne z Cisco </w:t>
            </w:r>
            <w:proofErr w:type="spellStart"/>
            <w:r w:rsidRPr="0078212D">
              <w:t>Catalyst</w:t>
            </w:r>
            <w:proofErr w:type="spellEnd"/>
            <w:r w:rsidRPr="0078212D">
              <w:t xml:space="preserve"> 9500</w:t>
            </w:r>
          </w:p>
        </w:tc>
        <w:tc>
          <w:tcPr>
            <w:tcW w:w="1418" w:type="dxa"/>
          </w:tcPr>
          <w:p w:rsidR="0078212D" w:rsidRPr="0078212D" w:rsidRDefault="0078212D" w:rsidP="00D87391">
            <w:pPr>
              <w:jc w:val="both"/>
            </w:pPr>
          </w:p>
        </w:tc>
      </w:tr>
    </w:tbl>
    <w:p w:rsidR="00840B80" w:rsidRDefault="00840B80" w:rsidP="00095FDD">
      <w:pPr>
        <w:jc w:val="both"/>
      </w:pPr>
    </w:p>
    <w:p w:rsidR="00AF24A3" w:rsidRDefault="00AF24A3"/>
    <w:p w:rsidR="005A6710" w:rsidRDefault="005A6710" w:rsidP="005A6710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>
        <w:rPr>
          <w:rFonts w:ascii="Lato" w:hAnsi="Lato"/>
          <w:sz w:val="16"/>
          <w:szCs w:val="16"/>
        </w:rPr>
        <w:t xml:space="preserve">(kwalifikowany podpis elektroniczny, </w:t>
      </w:r>
      <w:r>
        <w:rPr>
          <w:rFonts w:ascii="Lato" w:hAnsi="Lato"/>
          <w:sz w:val="16"/>
          <w:szCs w:val="16"/>
        </w:rPr>
        <w:br/>
        <w:t xml:space="preserve">podpis zaufany lub podpis osobisty)  </w:t>
      </w:r>
      <w:r>
        <w:rPr>
          <w:rFonts w:ascii="Lato" w:hAnsi="Lato"/>
          <w:sz w:val="16"/>
          <w:szCs w:val="16"/>
        </w:rPr>
        <w:br/>
        <w:t>osoby (osób) upoważnionej (upoważnionych)</w:t>
      </w:r>
    </w:p>
    <w:p w:rsidR="005A6710" w:rsidRPr="003703F0" w:rsidRDefault="005A6710" w:rsidP="005A6710">
      <w:pPr>
        <w:spacing w:after="0" w:line="276" w:lineRule="auto"/>
        <w:ind w:left="4820"/>
        <w:jc w:val="center"/>
        <w:rPr>
          <w:rFonts w:ascii="Lato" w:hAnsi="Lato" w:cs="Arial"/>
          <w:sz w:val="16"/>
          <w:szCs w:val="16"/>
        </w:rPr>
      </w:pPr>
      <w:r>
        <w:rPr>
          <w:rFonts w:ascii="Lato" w:hAnsi="Lato"/>
          <w:sz w:val="16"/>
          <w:szCs w:val="16"/>
        </w:rPr>
        <w:t>do reprezentowania Wykonawcy</w:t>
      </w:r>
    </w:p>
    <w:p w:rsidR="005A6710" w:rsidRDefault="005A6710"/>
    <w:sectPr w:rsidR="005A671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B80" w:rsidRDefault="00840B80" w:rsidP="005A6710">
      <w:pPr>
        <w:spacing w:after="0" w:line="240" w:lineRule="auto"/>
      </w:pPr>
      <w:r>
        <w:separator/>
      </w:r>
    </w:p>
  </w:endnote>
  <w:endnote w:type="continuationSeparator" w:id="0">
    <w:p w:rsidR="00840B80" w:rsidRDefault="00840B80" w:rsidP="005A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85E" w:rsidRDefault="00EF685E">
    <w:pPr>
      <w:pStyle w:val="Stopka"/>
    </w:pP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0" locked="0" layoutInCell="1" allowOverlap="1" wp14:anchorId="52E7ED9B" wp14:editId="269347AD">
          <wp:simplePos x="0" y="0"/>
          <wp:positionH relativeFrom="margin">
            <wp:posOffset>-175895</wp:posOffset>
          </wp:positionH>
          <wp:positionV relativeFrom="page">
            <wp:posOffset>9718040</wp:posOffset>
          </wp:positionV>
          <wp:extent cx="6269990" cy="524510"/>
          <wp:effectExtent l="0" t="0" r="0" b="889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B80" w:rsidRDefault="00840B80" w:rsidP="005A6710">
      <w:pPr>
        <w:spacing w:after="0" w:line="240" w:lineRule="auto"/>
      </w:pPr>
      <w:r>
        <w:separator/>
      </w:r>
    </w:p>
  </w:footnote>
  <w:footnote w:type="continuationSeparator" w:id="0">
    <w:p w:rsidR="00840B80" w:rsidRDefault="00840B80" w:rsidP="005A6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B80" w:rsidRDefault="00840B80">
    <w:pPr>
      <w:pStyle w:val="Nagwek"/>
    </w:pPr>
    <w:r>
      <w:t>BA.V.260.26.2025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7818"/>
    <w:multiLevelType w:val="multilevel"/>
    <w:tmpl w:val="20F6E5B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AB7599"/>
    <w:multiLevelType w:val="multilevel"/>
    <w:tmpl w:val="980696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3515FE"/>
    <w:multiLevelType w:val="multilevel"/>
    <w:tmpl w:val="CD2A45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0607C3"/>
    <w:multiLevelType w:val="multilevel"/>
    <w:tmpl w:val="D8B65F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9D4F10"/>
    <w:multiLevelType w:val="multilevel"/>
    <w:tmpl w:val="D3DC22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AD1C44"/>
    <w:multiLevelType w:val="multilevel"/>
    <w:tmpl w:val="08EA5D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1E2361"/>
    <w:multiLevelType w:val="multilevel"/>
    <w:tmpl w:val="D774FD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DF564A"/>
    <w:multiLevelType w:val="multilevel"/>
    <w:tmpl w:val="1B8C1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7216221"/>
    <w:multiLevelType w:val="multilevel"/>
    <w:tmpl w:val="C898F2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AA7ED9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8F538D"/>
    <w:multiLevelType w:val="multilevel"/>
    <w:tmpl w:val="3182C1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D6361E"/>
    <w:multiLevelType w:val="multilevel"/>
    <w:tmpl w:val="C03C31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8C74CC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0AA6B42"/>
    <w:multiLevelType w:val="multilevel"/>
    <w:tmpl w:val="152C87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6764515"/>
    <w:multiLevelType w:val="multilevel"/>
    <w:tmpl w:val="02DAC7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B7C34AB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D2C0562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28B11CA"/>
    <w:multiLevelType w:val="multilevel"/>
    <w:tmpl w:val="6AC8F8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AFC558F"/>
    <w:multiLevelType w:val="multilevel"/>
    <w:tmpl w:val="1400B7E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7"/>
  </w:num>
  <w:num w:numId="3">
    <w:abstractNumId w:val="17"/>
  </w:num>
  <w:num w:numId="4">
    <w:abstractNumId w:val="14"/>
  </w:num>
  <w:num w:numId="5">
    <w:abstractNumId w:val="2"/>
  </w:num>
  <w:num w:numId="6">
    <w:abstractNumId w:val="11"/>
  </w:num>
  <w:num w:numId="7">
    <w:abstractNumId w:val="10"/>
  </w:num>
  <w:num w:numId="8">
    <w:abstractNumId w:val="3"/>
  </w:num>
  <w:num w:numId="9">
    <w:abstractNumId w:val="5"/>
  </w:num>
  <w:num w:numId="10">
    <w:abstractNumId w:val="1"/>
  </w:num>
  <w:num w:numId="11">
    <w:abstractNumId w:val="13"/>
  </w:num>
  <w:num w:numId="12">
    <w:abstractNumId w:val="4"/>
  </w:num>
  <w:num w:numId="13">
    <w:abstractNumId w:val="8"/>
  </w:num>
  <w:num w:numId="14">
    <w:abstractNumId w:val="18"/>
  </w:num>
  <w:num w:numId="15">
    <w:abstractNumId w:val="9"/>
  </w:num>
  <w:num w:numId="16">
    <w:abstractNumId w:val="16"/>
  </w:num>
  <w:num w:numId="17">
    <w:abstractNumId w:val="12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9C"/>
    <w:rsid w:val="00095FDD"/>
    <w:rsid w:val="000E55CE"/>
    <w:rsid w:val="0018324A"/>
    <w:rsid w:val="00202919"/>
    <w:rsid w:val="00356D9C"/>
    <w:rsid w:val="0046380A"/>
    <w:rsid w:val="005A6710"/>
    <w:rsid w:val="00624DF1"/>
    <w:rsid w:val="006B4071"/>
    <w:rsid w:val="006B70BD"/>
    <w:rsid w:val="00727AB0"/>
    <w:rsid w:val="0078212D"/>
    <w:rsid w:val="0078414C"/>
    <w:rsid w:val="00840B80"/>
    <w:rsid w:val="0094254E"/>
    <w:rsid w:val="009D63F5"/>
    <w:rsid w:val="00A9103B"/>
    <w:rsid w:val="00AE5C65"/>
    <w:rsid w:val="00AF24A3"/>
    <w:rsid w:val="00B07655"/>
    <w:rsid w:val="00B26204"/>
    <w:rsid w:val="00C46955"/>
    <w:rsid w:val="00D13514"/>
    <w:rsid w:val="00E10CFC"/>
    <w:rsid w:val="00E16668"/>
    <w:rsid w:val="00EB75EE"/>
    <w:rsid w:val="00EC2976"/>
    <w:rsid w:val="00EF685E"/>
    <w:rsid w:val="00F6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37015-34F4-44C1-8044-CDC3D27B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6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710"/>
  </w:style>
  <w:style w:type="paragraph" w:styleId="Stopka">
    <w:name w:val="footer"/>
    <w:basedOn w:val="Normalny"/>
    <w:link w:val="StopkaZnak"/>
    <w:uiPriority w:val="99"/>
    <w:unhideWhenUsed/>
    <w:rsid w:val="005A6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710"/>
  </w:style>
  <w:style w:type="paragraph" w:styleId="Akapitzlist">
    <w:name w:val="List Paragraph"/>
    <w:aliases w:val="Akapit z listą BS,Akapit z listą31,BulletC,Bullets,L1,List Paragraph1,List Paragraph2,List Paragraph_0,Numerowanie,Obiekt,Preambuła,T_SZ_List Paragraph,WYPUNKTOWANIE Akapit z listą,Wyliczanie,Wypunktowanie,normalny tekst,sw tekst,CW_Lista"/>
    <w:basedOn w:val="Normalny"/>
    <w:link w:val="AkapitzlistZnak"/>
    <w:uiPriority w:val="34"/>
    <w:qFormat/>
    <w:rsid w:val="00840B80"/>
    <w:pPr>
      <w:ind w:left="720"/>
      <w:contextualSpacing/>
    </w:pPr>
  </w:style>
  <w:style w:type="character" w:customStyle="1" w:styleId="AkapitzlistZnak">
    <w:name w:val="Akapit z listą Znak"/>
    <w:aliases w:val="Akapit z listą BS Znak,Akapit z listą31 Znak,BulletC Znak,Bullets Znak,L1 Znak,List Paragraph1 Znak,List Paragraph2 Znak,List Paragraph_0 Znak,Numerowanie Znak,Obiekt Znak,Preambuła Znak,T_SZ_List Paragraph Znak,Wyliczanie Znak"/>
    <w:link w:val="Akapitzlist"/>
    <w:uiPriority w:val="34"/>
    <w:qFormat/>
    <w:locked/>
    <w:rsid w:val="00840B80"/>
  </w:style>
  <w:style w:type="character" w:styleId="Pogrubienie">
    <w:name w:val="Strong"/>
    <w:basedOn w:val="Domylnaczcionkaakapitu"/>
    <w:uiPriority w:val="22"/>
    <w:qFormat/>
    <w:rsid w:val="00EB75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eat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ec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1816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MAP</Company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Boruc Wlodzimierz</dc:creator>
  <cp:keywords/>
  <dc:description/>
  <cp:lastModifiedBy>Boruc Wlodzimierz</cp:lastModifiedBy>
  <cp:revision>20</cp:revision>
  <dcterms:created xsi:type="dcterms:W3CDTF">2025-10-24T07:40:00Z</dcterms:created>
  <dcterms:modified xsi:type="dcterms:W3CDTF">2025-11-28T14:13:00Z</dcterms:modified>
</cp:coreProperties>
</file>